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5095DB11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7933DE" w:rsidRPr="00630D79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20B97" w14:textId="1FFE988C" w:rsidR="00C94DD1" w:rsidRDefault="003D6EC1" w:rsidP="00FC309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FC309A" w:rsidRPr="00FC309A">
        <w:rPr>
          <w:rFonts w:ascii="Tahoma" w:hAnsi="Tahoma" w:cs="Tahoma"/>
          <w:b/>
          <w:bCs/>
          <w:sz w:val="20"/>
          <w:szCs w:val="20"/>
        </w:rPr>
        <w:t>„Sukcesywna dostawa preparatu służącego do zwalczania substancji złowonnych w kanalizacji sanitarnej stanowiącego wodny roztwór azotanu wapnia”</w:t>
      </w: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724DB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241EF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C462C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0609C"/>
    <w:rsid w:val="00EC6ACD"/>
    <w:rsid w:val="00EC7BED"/>
    <w:rsid w:val="00EF66F0"/>
    <w:rsid w:val="00FA609A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21</cp:revision>
  <cp:lastPrinted>2013-10-04T11:23:00Z</cp:lastPrinted>
  <dcterms:created xsi:type="dcterms:W3CDTF">2019-01-28T13:34:00Z</dcterms:created>
  <dcterms:modified xsi:type="dcterms:W3CDTF">2021-11-05T13:37:00Z</dcterms:modified>
</cp:coreProperties>
</file>